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6E3E6171"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r w:rsidR="00142958" w:rsidRPr="000D284B">
        <w:rPr>
          <w:rFonts w:ascii="Calibri" w:eastAsia="Calibri" w:hAnsi="Calibri" w:cs="Arial"/>
          <w:b/>
          <w:sz w:val="28"/>
          <w:szCs w:val="28"/>
          <w:lang w:eastAsia="en-US"/>
        </w:rPr>
        <w:t>dokumentace – Technické</w:t>
      </w:r>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221AABC" w14:textId="22A04740" w:rsidR="00393D63" w:rsidRDefault="00142958" w:rsidP="00142958">
      <w:pPr>
        <w:pStyle w:val="Nadpis8"/>
      </w:pPr>
      <w:proofErr w:type="spellStart"/>
      <w:r>
        <w:t>Gamma</w:t>
      </w:r>
      <w:proofErr w:type="spellEnd"/>
      <w:r>
        <w:t xml:space="preserve"> sonda</w:t>
      </w:r>
    </w:p>
    <w:p w14:paraId="79DA3079" w14:textId="77777777" w:rsidR="00142958" w:rsidRPr="00142958" w:rsidRDefault="00142958" w:rsidP="00142958"/>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93322D" w14:textId="77777777" w:rsidTr="00B45E93">
        <w:trPr>
          <w:trHeight w:val="387"/>
        </w:trPr>
        <w:tc>
          <w:tcPr>
            <w:tcW w:w="4536"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858892C" w14:textId="4FAD4AF1" w:rsidR="00600F8C" w:rsidRPr="00393D63" w:rsidRDefault="00142958" w:rsidP="00600F8C">
            <w:pPr>
              <w:autoSpaceDE w:val="0"/>
              <w:autoSpaceDN w:val="0"/>
              <w:adjustRightInd w:val="0"/>
              <w:rPr>
                <w:rFonts w:asciiTheme="minorHAnsi" w:hAnsiTheme="minorHAnsi"/>
                <w:b/>
                <w:bCs/>
                <w:sz w:val="28"/>
                <w:szCs w:val="28"/>
              </w:rPr>
            </w:pPr>
            <w:proofErr w:type="spellStart"/>
            <w:r>
              <w:rPr>
                <w:rFonts w:asciiTheme="minorHAnsi" w:hAnsiTheme="minorHAnsi"/>
                <w:b/>
                <w:bCs/>
                <w:sz w:val="28"/>
                <w:szCs w:val="28"/>
              </w:rPr>
              <w:t>Gamma</w:t>
            </w:r>
            <w:proofErr w:type="spellEnd"/>
            <w:r>
              <w:rPr>
                <w:rFonts w:asciiTheme="minorHAnsi" w:hAnsiTheme="minorHAnsi"/>
                <w:b/>
                <w:bCs/>
                <w:sz w:val="28"/>
                <w:szCs w:val="28"/>
              </w:rPr>
              <w:t xml:space="preserve"> sonda – 1 ks</w:t>
            </w:r>
          </w:p>
        </w:tc>
      </w:tr>
      <w:tr w:rsidR="00654188" w:rsidRPr="00654188" w14:paraId="5B7ECD15" w14:textId="77777777" w:rsidTr="000B179B">
        <w:trPr>
          <w:tblHeader/>
        </w:trPr>
        <w:tc>
          <w:tcPr>
            <w:tcW w:w="4536"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42958" w:rsidRPr="00C10A7D" w14:paraId="7DBD9FA8" w14:textId="77777777" w:rsidTr="00B42FD1">
        <w:tc>
          <w:tcPr>
            <w:tcW w:w="4536" w:type="dxa"/>
          </w:tcPr>
          <w:p w14:paraId="4C302134" w14:textId="77777777" w:rsidR="00142958" w:rsidRPr="007417E3" w:rsidRDefault="00142958" w:rsidP="00142958">
            <w:pPr>
              <w:rPr>
                <w:rFonts w:asciiTheme="minorHAnsi" w:hAnsiTheme="minorHAnsi" w:cs="Tahoma"/>
                <w:b/>
                <w:bCs/>
                <w:sz w:val="22"/>
                <w:szCs w:val="22"/>
              </w:rPr>
            </w:pPr>
            <w:r w:rsidRPr="007417E3">
              <w:rPr>
                <w:rFonts w:asciiTheme="minorHAnsi" w:hAnsiTheme="minorHAnsi" w:cs="Tahoma"/>
                <w:b/>
                <w:bCs/>
                <w:sz w:val="22"/>
                <w:szCs w:val="22"/>
              </w:rPr>
              <w:t xml:space="preserve">Dodaná řídící jednotka přístroje pro </w:t>
            </w:r>
            <w:proofErr w:type="spellStart"/>
            <w:r w:rsidRPr="007417E3">
              <w:rPr>
                <w:rFonts w:asciiTheme="minorHAnsi" w:hAnsiTheme="minorHAnsi" w:cs="Tahoma"/>
                <w:b/>
                <w:bCs/>
                <w:sz w:val="22"/>
                <w:szCs w:val="22"/>
              </w:rPr>
              <w:t>gamma</w:t>
            </w:r>
            <w:proofErr w:type="spellEnd"/>
            <w:r w:rsidRPr="007417E3">
              <w:rPr>
                <w:rFonts w:asciiTheme="minorHAnsi" w:hAnsiTheme="minorHAnsi" w:cs="Tahoma"/>
                <w:b/>
                <w:bCs/>
                <w:sz w:val="22"/>
                <w:szCs w:val="22"/>
              </w:rPr>
              <w:t xml:space="preserve"> sondu musí splňovat a obsahovat</w:t>
            </w:r>
          </w:p>
          <w:p w14:paraId="2A8E7626" w14:textId="13450D76" w:rsidR="00142958" w:rsidRPr="00E413BF" w:rsidRDefault="00142958" w:rsidP="00142958">
            <w:pPr>
              <w:rPr>
                <w:rFonts w:ascii="Calibri" w:hAnsi="Calibri" w:cs="Calibri"/>
                <w:color w:val="000000" w:themeColor="text1"/>
                <w:szCs w:val="20"/>
              </w:rPr>
            </w:pPr>
          </w:p>
        </w:tc>
        <w:tc>
          <w:tcPr>
            <w:tcW w:w="1276" w:type="dxa"/>
            <w:vAlign w:val="center"/>
          </w:tcPr>
          <w:p w14:paraId="36574947" w14:textId="7C4C8769" w:rsidR="00142958" w:rsidRPr="002476E6" w:rsidRDefault="00142958" w:rsidP="00142958">
            <w:pPr>
              <w:jc w:val="center"/>
              <w:rPr>
                <w:rFonts w:ascii="Calibri" w:hAnsi="Calibri" w:cs="Calibri"/>
                <w:color w:val="FF0000"/>
                <w:szCs w:val="20"/>
              </w:rPr>
            </w:pPr>
          </w:p>
        </w:tc>
        <w:tc>
          <w:tcPr>
            <w:tcW w:w="3821" w:type="dxa"/>
            <w:vAlign w:val="center"/>
          </w:tcPr>
          <w:p w14:paraId="4DA2E87B" w14:textId="6D76A95F" w:rsidR="00142958" w:rsidRPr="002476E6" w:rsidRDefault="00142958" w:rsidP="00142958">
            <w:pPr>
              <w:jc w:val="center"/>
              <w:rPr>
                <w:rFonts w:ascii="Calibri" w:hAnsi="Calibri" w:cs="Calibri"/>
                <w:color w:val="FF0000"/>
                <w:szCs w:val="20"/>
              </w:rPr>
            </w:pPr>
          </w:p>
        </w:tc>
      </w:tr>
      <w:tr w:rsidR="00142958" w:rsidRPr="00C10A7D" w14:paraId="2BEA0695" w14:textId="77777777" w:rsidTr="00B42FD1">
        <w:tc>
          <w:tcPr>
            <w:tcW w:w="4536" w:type="dxa"/>
          </w:tcPr>
          <w:p w14:paraId="6EA2DC3A" w14:textId="61766335" w:rsidR="00142958" w:rsidRPr="00E413BF" w:rsidRDefault="00142958" w:rsidP="00142958">
            <w:pPr>
              <w:rPr>
                <w:rFonts w:ascii="Calibri" w:hAnsi="Calibri" w:cs="Calibri"/>
                <w:color w:val="000000" w:themeColor="text1"/>
                <w:szCs w:val="20"/>
              </w:rPr>
            </w:pPr>
            <w:r w:rsidRPr="007417E3">
              <w:rPr>
                <w:rFonts w:asciiTheme="minorHAnsi" w:hAnsiTheme="minorHAnsi" w:cs="Tahoma"/>
                <w:sz w:val="22"/>
                <w:szCs w:val="22"/>
              </w:rPr>
              <w:t>Napájení z elektrické sítě (230 V/50 Hz) a zároveň možnost napájení pomocí vestavěného akumulátoru (min. 8 hodin)</w:t>
            </w:r>
          </w:p>
        </w:tc>
        <w:tc>
          <w:tcPr>
            <w:tcW w:w="1276" w:type="dxa"/>
            <w:vAlign w:val="center"/>
          </w:tcPr>
          <w:p w14:paraId="78E781FF"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730740"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r>
      <w:tr w:rsidR="00142958" w:rsidRPr="00C10A7D" w14:paraId="751E2622" w14:textId="77777777" w:rsidTr="00B42FD1">
        <w:tc>
          <w:tcPr>
            <w:tcW w:w="4536" w:type="dxa"/>
          </w:tcPr>
          <w:p w14:paraId="4C0B3DEC" w14:textId="15C8C5D8" w:rsidR="00142958" w:rsidRPr="00E413BF" w:rsidRDefault="00142958" w:rsidP="00142958">
            <w:pPr>
              <w:rPr>
                <w:rFonts w:ascii="Calibri" w:hAnsi="Calibri" w:cs="Calibri"/>
                <w:color w:val="000000" w:themeColor="text1"/>
                <w:szCs w:val="20"/>
              </w:rPr>
            </w:pPr>
            <w:r w:rsidRPr="007417E3">
              <w:rPr>
                <w:rFonts w:asciiTheme="minorHAnsi" w:hAnsiTheme="minorHAnsi" w:cs="Tahoma"/>
                <w:sz w:val="22"/>
                <w:szCs w:val="22"/>
              </w:rPr>
              <w:t>Automatická detekce sondy a typu nuklidu.</w:t>
            </w:r>
          </w:p>
        </w:tc>
        <w:tc>
          <w:tcPr>
            <w:tcW w:w="1276" w:type="dxa"/>
            <w:vAlign w:val="center"/>
          </w:tcPr>
          <w:p w14:paraId="66535EA0"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1FC70"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r>
      <w:tr w:rsidR="00142958" w:rsidRPr="00C10A7D" w14:paraId="351586F2" w14:textId="77777777" w:rsidTr="00B42FD1">
        <w:tc>
          <w:tcPr>
            <w:tcW w:w="4536" w:type="dxa"/>
          </w:tcPr>
          <w:p w14:paraId="2DCB6C44" w14:textId="525A9DEC" w:rsidR="00142958" w:rsidRPr="00E413BF" w:rsidRDefault="00142958" w:rsidP="00142958">
            <w:pPr>
              <w:rPr>
                <w:rFonts w:ascii="Calibri" w:hAnsi="Calibri" w:cs="Calibri"/>
                <w:color w:val="000000" w:themeColor="text1"/>
                <w:szCs w:val="20"/>
              </w:rPr>
            </w:pPr>
            <w:r w:rsidRPr="007417E3">
              <w:rPr>
                <w:rFonts w:asciiTheme="minorHAnsi" w:hAnsiTheme="minorHAnsi" w:cs="Tahoma"/>
                <w:sz w:val="22"/>
                <w:szCs w:val="22"/>
              </w:rPr>
              <w:t xml:space="preserve">Možnost manuální volby min. 2 nuklidu </w:t>
            </w:r>
          </w:p>
        </w:tc>
        <w:tc>
          <w:tcPr>
            <w:tcW w:w="1276" w:type="dxa"/>
            <w:vAlign w:val="center"/>
          </w:tcPr>
          <w:p w14:paraId="70054544"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F365F"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r>
      <w:tr w:rsidR="00142958" w:rsidRPr="00C10A7D" w14:paraId="7FFFA305" w14:textId="77777777" w:rsidTr="00B42FD1">
        <w:tc>
          <w:tcPr>
            <w:tcW w:w="4536" w:type="dxa"/>
          </w:tcPr>
          <w:p w14:paraId="507CEFCC" w14:textId="7969583F" w:rsidR="00142958" w:rsidRPr="00E413BF" w:rsidRDefault="00142958" w:rsidP="00142958">
            <w:pPr>
              <w:rPr>
                <w:rFonts w:ascii="Calibri" w:hAnsi="Calibri" w:cs="Calibri"/>
                <w:color w:val="000000" w:themeColor="text1"/>
                <w:szCs w:val="20"/>
              </w:rPr>
            </w:pPr>
            <w:r w:rsidRPr="007417E3">
              <w:rPr>
                <w:rFonts w:asciiTheme="minorHAnsi" w:hAnsiTheme="minorHAnsi" w:cs="Tahoma"/>
                <w:sz w:val="22"/>
                <w:szCs w:val="22"/>
              </w:rPr>
              <w:t>Měření radioaktivity pozadí</w:t>
            </w:r>
          </w:p>
        </w:tc>
        <w:tc>
          <w:tcPr>
            <w:tcW w:w="1276" w:type="dxa"/>
            <w:vAlign w:val="center"/>
          </w:tcPr>
          <w:p w14:paraId="6408367B"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1EF091" w14:textId="77777777" w:rsidR="00142958" w:rsidRPr="002476E6" w:rsidRDefault="00142958" w:rsidP="00142958">
            <w:pPr>
              <w:jc w:val="center"/>
              <w:rPr>
                <w:rFonts w:ascii="Calibri" w:hAnsi="Calibri" w:cs="Calibri"/>
                <w:color w:val="FF0000"/>
                <w:szCs w:val="20"/>
              </w:rPr>
            </w:pPr>
            <w:r w:rsidRPr="002476E6">
              <w:rPr>
                <w:rFonts w:ascii="Calibri" w:hAnsi="Calibri" w:cs="Calibri"/>
                <w:color w:val="FF0000"/>
                <w:szCs w:val="20"/>
              </w:rPr>
              <w:t>(doplní dodavatel)</w:t>
            </w:r>
          </w:p>
        </w:tc>
      </w:tr>
      <w:tr w:rsidR="00142958" w:rsidRPr="00C10A7D" w14:paraId="7EF9DAA0" w14:textId="77777777" w:rsidTr="00D23084">
        <w:tc>
          <w:tcPr>
            <w:tcW w:w="4536" w:type="dxa"/>
          </w:tcPr>
          <w:p w14:paraId="7D13299B" w14:textId="596B7035" w:rsidR="00142958" w:rsidRPr="00E413BF" w:rsidRDefault="00142958" w:rsidP="00142958">
            <w:pPr>
              <w:rPr>
                <w:rFonts w:ascii="Calibri" w:hAnsi="Calibri" w:cs="Calibri"/>
                <w:color w:val="000000" w:themeColor="text1"/>
                <w:szCs w:val="20"/>
              </w:rPr>
            </w:pPr>
            <w:r w:rsidRPr="007417E3">
              <w:rPr>
                <w:rFonts w:asciiTheme="minorHAnsi" w:hAnsiTheme="minorHAnsi" w:cs="Tahoma"/>
                <w:sz w:val="22"/>
                <w:szCs w:val="22"/>
              </w:rPr>
              <w:t>Nastavení hlasitosti, která umožnuje slyšitelnost pulsu</w:t>
            </w:r>
          </w:p>
        </w:tc>
        <w:tc>
          <w:tcPr>
            <w:tcW w:w="1276" w:type="dxa"/>
          </w:tcPr>
          <w:p w14:paraId="63301C10" w14:textId="7AAC7666" w:rsidR="00142958" w:rsidRPr="002476E6" w:rsidRDefault="00142958" w:rsidP="00142958">
            <w:pPr>
              <w:jc w:val="center"/>
              <w:rPr>
                <w:rFonts w:ascii="Calibri" w:hAnsi="Calibri" w:cs="Calibri"/>
                <w:color w:val="FF0000"/>
                <w:szCs w:val="20"/>
              </w:rPr>
            </w:pPr>
            <w:r w:rsidRPr="009B3446">
              <w:rPr>
                <w:rFonts w:ascii="Calibri" w:hAnsi="Calibri" w:cs="Calibri"/>
                <w:color w:val="FF0000"/>
                <w:szCs w:val="20"/>
              </w:rPr>
              <w:t>(doplní dodavatel)</w:t>
            </w:r>
          </w:p>
        </w:tc>
        <w:tc>
          <w:tcPr>
            <w:tcW w:w="3821" w:type="dxa"/>
          </w:tcPr>
          <w:p w14:paraId="47B17C49" w14:textId="4547150D" w:rsidR="00142958" w:rsidRPr="002476E6" w:rsidRDefault="00142958" w:rsidP="00142958">
            <w:pPr>
              <w:jc w:val="center"/>
              <w:rPr>
                <w:rFonts w:ascii="Calibri" w:hAnsi="Calibri" w:cs="Calibri"/>
                <w:color w:val="FF0000"/>
                <w:szCs w:val="20"/>
              </w:rPr>
            </w:pPr>
            <w:r w:rsidRPr="009B3446">
              <w:rPr>
                <w:rFonts w:ascii="Calibri" w:hAnsi="Calibri" w:cs="Calibri"/>
                <w:color w:val="FF0000"/>
                <w:szCs w:val="20"/>
              </w:rPr>
              <w:t>(doplní dodavatel)</w:t>
            </w:r>
          </w:p>
        </w:tc>
      </w:tr>
      <w:tr w:rsidR="00142958" w:rsidRPr="00C10A7D" w14:paraId="060684CF" w14:textId="77777777" w:rsidTr="00D23084">
        <w:tc>
          <w:tcPr>
            <w:tcW w:w="4536" w:type="dxa"/>
          </w:tcPr>
          <w:p w14:paraId="0F3D86C2" w14:textId="09BC7CE5" w:rsidR="00142958" w:rsidRPr="00E413BF" w:rsidRDefault="00142958" w:rsidP="00142958">
            <w:pPr>
              <w:rPr>
                <w:rFonts w:ascii="Calibri" w:hAnsi="Calibri" w:cs="Calibri"/>
                <w:color w:val="000000" w:themeColor="text1"/>
                <w:szCs w:val="20"/>
              </w:rPr>
            </w:pPr>
            <w:r w:rsidRPr="007417E3">
              <w:rPr>
                <w:rFonts w:asciiTheme="minorHAnsi" w:hAnsiTheme="minorHAnsi" w:cs="Tahoma"/>
                <w:b/>
                <w:bCs/>
                <w:sz w:val="22"/>
                <w:szCs w:val="22"/>
              </w:rPr>
              <w:t xml:space="preserve">Součástí dodání bude bezdrátová </w:t>
            </w:r>
            <w:proofErr w:type="spellStart"/>
            <w:r w:rsidRPr="007417E3">
              <w:rPr>
                <w:rFonts w:asciiTheme="minorHAnsi" w:hAnsiTheme="minorHAnsi" w:cs="Tahoma"/>
                <w:b/>
                <w:bCs/>
                <w:sz w:val="22"/>
                <w:szCs w:val="22"/>
              </w:rPr>
              <w:t>gamma</w:t>
            </w:r>
            <w:proofErr w:type="spellEnd"/>
            <w:r w:rsidRPr="007417E3">
              <w:rPr>
                <w:rFonts w:asciiTheme="minorHAnsi" w:hAnsiTheme="minorHAnsi" w:cs="Tahoma"/>
                <w:b/>
                <w:bCs/>
                <w:sz w:val="22"/>
                <w:szCs w:val="22"/>
              </w:rPr>
              <w:t xml:space="preserve"> sonda, která musí splňovat a obsahovat:</w:t>
            </w:r>
          </w:p>
        </w:tc>
        <w:tc>
          <w:tcPr>
            <w:tcW w:w="1276" w:type="dxa"/>
          </w:tcPr>
          <w:p w14:paraId="466766B1" w14:textId="3B622D43" w:rsidR="00142958" w:rsidRPr="009B3446"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07DB6035" w14:textId="04D0334E" w:rsidR="00142958" w:rsidRPr="009B3446"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r w:rsidR="00142958" w:rsidRPr="00C10A7D" w14:paraId="093C879B" w14:textId="77777777" w:rsidTr="00D23084">
        <w:tc>
          <w:tcPr>
            <w:tcW w:w="4536" w:type="dxa"/>
          </w:tcPr>
          <w:p w14:paraId="39507C3C" w14:textId="1F10164A" w:rsidR="00142958" w:rsidRPr="00E413BF" w:rsidRDefault="00142958" w:rsidP="00142958">
            <w:pPr>
              <w:rPr>
                <w:rFonts w:ascii="Calibri" w:hAnsi="Calibri" w:cs="Calibri"/>
                <w:color w:val="000000" w:themeColor="text1"/>
                <w:szCs w:val="20"/>
              </w:rPr>
            </w:pPr>
            <w:r w:rsidRPr="007417E3">
              <w:rPr>
                <w:rFonts w:asciiTheme="minorHAnsi" w:hAnsiTheme="minorHAnsi" w:cs="Tahoma"/>
                <w:sz w:val="22"/>
                <w:szCs w:val="22"/>
              </w:rPr>
              <w:t xml:space="preserve">Spojení </w:t>
            </w:r>
            <w:proofErr w:type="spellStart"/>
            <w:r w:rsidRPr="007417E3">
              <w:rPr>
                <w:rFonts w:asciiTheme="minorHAnsi" w:hAnsiTheme="minorHAnsi" w:cs="Tahoma"/>
                <w:sz w:val="22"/>
                <w:szCs w:val="22"/>
              </w:rPr>
              <w:t>gamma</w:t>
            </w:r>
            <w:proofErr w:type="spellEnd"/>
            <w:r w:rsidRPr="007417E3">
              <w:rPr>
                <w:rFonts w:asciiTheme="minorHAnsi" w:hAnsiTheme="minorHAnsi" w:cs="Tahoma"/>
                <w:sz w:val="22"/>
                <w:szCs w:val="22"/>
              </w:rPr>
              <w:t xml:space="preserve"> sondy s řídící jednotkou musí být bezdrátové</w:t>
            </w:r>
          </w:p>
        </w:tc>
        <w:tc>
          <w:tcPr>
            <w:tcW w:w="1276" w:type="dxa"/>
          </w:tcPr>
          <w:p w14:paraId="5FBADDA4" w14:textId="406F31A4" w:rsidR="00142958" w:rsidRPr="009B3446"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1ED5C03C" w14:textId="424CD8D4" w:rsidR="00142958" w:rsidRPr="009B3446"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r w:rsidR="00142958" w:rsidRPr="00C10A7D" w14:paraId="117DF9AB" w14:textId="77777777" w:rsidTr="00D23084">
        <w:tc>
          <w:tcPr>
            <w:tcW w:w="4536" w:type="dxa"/>
          </w:tcPr>
          <w:p w14:paraId="5725CFFA" w14:textId="28DFDACE" w:rsidR="00142958" w:rsidRPr="007417E3" w:rsidRDefault="00142958" w:rsidP="00142958">
            <w:pPr>
              <w:rPr>
                <w:rFonts w:asciiTheme="minorHAnsi" w:hAnsiTheme="minorHAnsi" w:cs="Tahoma"/>
                <w:sz w:val="22"/>
                <w:szCs w:val="22"/>
              </w:rPr>
            </w:pPr>
            <w:r w:rsidRPr="007417E3">
              <w:rPr>
                <w:rFonts w:asciiTheme="minorHAnsi" w:hAnsiTheme="minorHAnsi" w:cs="Tahoma"/>
                <w:sz w:val="22"/>
                <w:szCs w:val="22"/>
              </w:rPr>
              <w:t xml:space="preserve">Energetický rozsah v min. rozmezí 30 až 580 </w:t>
            </w:r>
            <w:proofErr w:type="spellStart"/>
            <w:r w:rsidRPr="007417E3">
              <w:rPr>
                <w:rFonts w:asciiTheme="minorHAnsi" w:hAnsiTheme="minorHAnsi" w:cs="Tahoma"/>
                <w:sz w:val="22"/>
                <w:szCs w:val="22"/>
              </w:rPr>
              <w:t>keV</w:t>
            </w:r>
            <w:proofErr w:type="spellEnd"/>
            <w:r w:rsidRPr="007417E3">
              <w:rPr>
                <w:rFonts w:asciiTheme="minorHAnsi" w:hAnsiTheme="minorHAnsi" w:cs="Tahoma"/>
                <w:sz w:val="22"/>
                <w:szCs w:val="22"/>
              </w:rPr>
              <w:t xml:space="preserve"> </w:t>
            </w:r>
          </w:p>
        </w:tc>
        <w:tc>
          <w:tcPr>
            <w:tcW w:w="1276" w:type="dxa"/>
          </w:tcPr>
          <w:p w14:paraId="60A8914B" w14:textId="77777777" w:rsidR="00142958" w:rsidRPr="002D5ACB" w:rsidRDefault="00142958" w:rsidP="00142958">
            <w:pPr>
              <w:jc w:val="center"/>
              <w:rPr>
                <w:rFonts w:ascii="Calibri" w:hAnsi="Calibri" w:cs="Calibri"/>
                <w:color w:val="FF0000"/>
                <w:szCs w:val="20"/>
              </w:rPr>
            </w:pPr>
          </w:p>
        </w:tc>
        <w:tc>
          <w:tcPr>
            <w:tcW w:w="3821" w:type="dxa"/>
          </w:tcPr>
          <w:p w14:paraId="3DDAE488" w14:textId="77777777" w:rsidR="00142958" w:rsidRPr="002D5ACB" w:rsidRDefault="00142958" w:rsidP="00142958">
            <w:pPr>
              <w:jc w:val="center"/>
              <w:rPr>
                <w:rFonts w:ascii="Calibri" w:hAnsi="Calibri" w:cs="Calibri"/>
                <w:color w:val="FF0000"/>
                <w:szCs w:val="20"/>
              </w:rPr>
            </w:pPr>
          </w:p>
        </w:tc>
      </w:tr>
      <w:tr w:rsidR="00142958" w:rsidRPr="00C10A7D" w14:paraId="53E04D8C" w14:textId="77777777" w:rsidTr="00D23084">
        <w:tc>
          <w:tcPr>
            <w:tcW w:w="4536" w:type="dxa"/>
          </w:tcPr>
          <w:p w14:paraId="5F0BDCC2" w14:textId="77777777" w:rsidR="00142958" w:rsidRPr="007417E3" w:rsidRDefault="00142958" w:rsidP="00142958">
            <w:pPr>
              <w:rPr>
                <w:rFonts w:asciiTheme="minorHAnsi" w:hAnsiTheme="minorHAnsi" w:cs="Tahoma"/>
                <w:sz w:val="22"/>
                <w:szCs w:val="22"/>
              </w:rPr>
            </w:pPr>
            <w:r w:rsidRPr="007417E3">
              <w:rPr>
                <w:rFonts w:asciiTheme="minorHAnsi" w:hAnsiTheme="minorHAnsi" w:cs="Tahoma"/>
                <w:sz w:val="22"/>
                <w:szCs w:val="22"/>
              </w:rPr>
              <w:t>Úhel vzepětí sondy je</w:t>
            </w:r>
            <w:r>
              <w:rPr>
                <w:rFonts w:asciiTheme="minorHAnsi" w:hAnsiTheme="minorHAnsi" w:cs="Tahoma"/>
                <w:sz w:val="22"/>
                <w:szCs w:val="22"/>
              </w:rPr>
              <w:t xml:space="preserve"> v rozmezí 30</w:t>
            </w:r>
            <w:r w:rsidRPr="007417E3">
              <w:rPr>
                <w:rFonts w:asciiTheme="minorHAnsi" w:hAnsiTheme="minorHAnsi" w:cs="Tahoma"/>
                <w:sz w:val="22"/>
                <w:szCs w:val="22"/>
              </w:rPr>
              <w:t>°</w:t>
            </w:r>
            <w:r>
              <w:rPr>
                <w:rFonts w:asciiTheme="minorHAnsi" w:hAnsiTheme="minorHAnsi" w:cs="Tahoma"/>
                <w:sz w:val="22"/>
                <w:szCs w:val="22"/>
              </w:rPr>
              <w:t xml:space="preserve"> až</w:t>
            </w:r>
            <w:r w:rsidRPr="007417E3">
              <w:rPr>
                <w:rFonts w:asciiTheme="minorHAnsi" w:hAnsiTheme="minorHAnsi" w:cs="Tahoma"/>
                <w:sz w:val="22"/>
                <w:szCs w:val="22"/>
              </w:rPr>
              <w:t xml:space="preserve"> 45°</w:t>
            </w:r>
          </w:p>
          <w:p w14:paraId="0B09115A" w14:textId="77777777" w:rsidR="00142958" w:rsidRPr="007417E3" w:rsidRDefault="00142958" w:rsidP="00142958">
            <w:pPr>
              <w:rPr>
                <w:rFonts w:asciiTheme="minorHAnsi" w:hAnsiTheme="minorHAnsi" w:cs="Tahoma"/>
                <w:sz w:val="22"/>
                <w:szCs w:val="22"/>
              </w:rPr>
            </w:pPr>
          </w:p>
        </w:tc>
        <w:tc>
          <w:tcPr>
            <w:tcW w:w="1276" w:type="dxa"/>
          </w:tcPr>
          <w:p w14:paraId="75EB68C8" w14:textId="57649008"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631FBE9C" w14:textId="47F66FA1"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r w:rsidR="00142958" w:rsidRPr="00C10A7D" w14:paraId="3E310FA2" w14:textId="77777777" w:rsidTr="00D23084">
        <w:tc>
          <w:tcPr>
            <w:tcW w:w="4536" w:type="dxa"/>
          </w:tcPr>
          <w:p w14:paraId="04E35C02" w14:textId="7B31975C" w:rsidR="00142958" w:rsidRPr="007417E3" w:rsidRDefault="00142958" w:rsidP="00142958">
            <w:pPr>
              <w:rPr>
                <w:rFonts w:asciiTheme="minorHAnsi" w:hAnsiTheme="minorHAnsi" w:cs="Tahoma"/>
                <w:sz w:val="22"/>
                <w:szCs w:val="22"/>
              </w:rPr>
            </w:pPr>
            <w:r w:rsidRPr="007417E3">
              <w:rPr>
                <w:rFonts w:asciiTheme="minorHAnsi" w:hAnsiTheme="minorHAnsi" w:cs="Tahoma"/>
                <w:sz w:val="22"/>
                <w:szCs w:val="22"/>
              </w:rPr>
              <w:t xml:space="preserve">Ochrana proti úrazu elektrickým proudem dle normy ČSN EN 60601 </w:t>
            </w:r>
          </w:p>
        </w:tc>
        <w:tc>
          <w:tcPr>
            <w:tcW w:w="1276" w:type="dxa"/>
          </w:tcPr>
          <w:p w14:paraId="214D5FEB" w14:textId="54253C78"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30656DC6" w14:textId="338D9E49"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r w:rsidR="00142958" w:rsidRPr="00C10A7D" w14:paraId="2013E679" w14:textId="77777777" w:rsidTr="00D23084">
        <w:tc>
          <w:tcPr>
            <w:tcW w:w="4536" w:type="dxa"/>
          </w:tcPr>
          <w:p w14:paraId="3FE9BC53" w14:textId="367D69BA" w:rsidR="00142958" w:rsidRPr="007417E3" w:rsidRDefault="00142958" w:rsidP="00142958">
            <w:pPr>
              <w:rPr>
                <w:rFonts w:asciiTheme="minorHAnsi" w:hAnsiTheme="minorHAnsi" w:cs="Tahoma"/>
                <w:sz w:val="22"/>
                <w:szCs w:val="22"/>
              </w:rPr>
            </w:pPr>
            <w:r w:rsidRPr="007417E3">
              <w:rPr>
                <w:rFonts w:asciiTheme="minorHAnsi" w:hAnsiTheme="minorHAnsi" w:cs="Tahoma"/>
                <w:sz w:val="22"/>
                <w:szCs w:val="22"/>
              </w:rPr>
              <w:lastRenderedPageBreak/>
              <w:t>Napájení gama sondy pomocí vyměnitelných baterií</w:t>
            </w:r>
          </w:p>
        </w:tc>
        <w:tc>
          <w:tcPr>
            <w:tcW w:w="1276" w:type="dxa"/>
          </w:tcPr>
          <w:p w14:paraId="04EA8A3B" w14:textId="5AFE366D"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34C5B740" w14:textId="657AE09E"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r w:rsidR="00142958" w:rsidRPr="00C10A7D" w14:paraId="238D540E" w14:textId="77777777" w:rsidTr="00D23084">
        <w:tc>
          <w:tcPr>
            <w:tcW w:w="4536" w:type="dxa"/>
          </w:tcPr>
          <w:p w14:paraId="49DAD050" w14:textId="7FDE5C3F" w:rsidR="00142958" w:rsidRPr="007417E3" w:rsidRDefault="00142958" w:rsidP="00142958">
            <w:pPr>
              <w:rPr>
                <w:rFonts w:asciiTheme="minorHAnsi" w:hAnsiTheme="minorHAnsi" w:cs="Tahoma"/>
                <w:sz w:val="22"/>
                <w:szCs w:val="22"/>
              </w:rPr>
            </w:pPr>
            <w:r w:rsidRPr="007417E3">
              <w:rPr>
                <w:rFonts w:asciiTheme="minorHAnsi" w:hAnsiTheme="minorHAnsi" w:cs="Tahoma"/>
                <w:sz w:val="22"/>
                <w:szCs w:val="22"/>
              </w:rPr>
              <w:t>Provozní doba bez napájení je min. 8 hodin</w:t>
            </w:r>
          </w:p>
        </w:tc>
        <w:tc>
          <w:tcPr>
            <w:tcW w:w="1276" w:type="dxa"/>
          </w:tcPr>
          <w:p w14:paraId="6A767AE8" w14:textId="3607F241"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5E55FB0F" w14:textId="69E56DD2"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r w:rsidR="00142958" w:rsidRPr="00C10A7D" w14:paraId="1EFBBF85" w14:textId="77777777" w:rsidTr="00D23084">
        <w:tc>
          <w:tcPr>
            <w:tcW w:w="4536" w:type="dxa"/>
          </w:tcPr>
          <w:p w14:paraId="37CE15C1" w14:textId="3AEF065E" w:rsidR="00142958" w:rsidRPr="007417E3" w:rsidRDefault="00142958" w:rsidP="00142958">
            <w:pPr>
              <w:rPr>
                <w:rFonts w:asciiTheme="minorHAnsi" w:hAnsiTheme="minorHAnsi" w:cs="Tahoma"/>
                <w:sz w:val="22"/>
                <w:szCs w:val="22"/>
              </w:rPr>
            </w:pPr>
            <w:r w:rsidRPr="007417E3">
              <w:rPr>
                <w:rFonts w:asciiTheme="minorHAnsi" w:hAnsiTheme="minorHAnsi" w:cs="Tahoma"/>
                <w:sz w:val="22"/>
                <w:szCs w:val="22"/>
              </w:rPr>
              <w:t>Kalibrace sondy je prováděná max. 1 za rok</w:t>
            </w:r>
            <w:r>
              <w:rPr>
                <w:rFonts w:asciiTheme="minorHAnsi" w:hAnsiTheme="minorHAnsi" w:cs="Tahoma"/>
                <w:sz w:val="22"/>
                <w:szCs w:val="22"/>
              </w:rPr>
              <w:t>, nebo není vůbec nutná</w:t>
            </w:r>
          </w:p>
        </w:tc>
        <w:tc>
          <w:tcPr>
            <w:tcW w:w="1276" w:type="dxa"/>
          </w:tcPr>
          <w:p w14:paraId="78256FDE" w14:textId="21B2F2B3"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tcPr>
          <w:p w14:paraId="4F4180EC" w14:textId="69157599" w:rsidR="00142958" w:rsidRPr="002D5ACB" w:rsidRDefault="00142958" w:rsidP="00142958">
            <w:pPr>
              <w:jc w:val="center"/>
              <w:rPr>
                <w:rFonts w:ascii="Calibri" w:hAnsi="Calibri" w:cs="Calibri"/>
                <w:color w:val="FF0000"/>
                <w:szCs w:val="20"/>
              </w:rPr>
            </w:pPr>
            <w:r w:rsidRPr="002D5ACB">
              <w:rPr>
                <w:rFonts w:ascii="Calibri" w:hAnsi="Calibri" w:cs="Calibri"/>
                <w:color w:val="FF0000"/>
                <w:szCs w:val="20"/>
              </w:rPr>
              <w:t>(doplní dodavatel)</w:t>
            </w:r>
          </w:p>
        </w:tc>
      </w:tr>
    </w:tbl>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77777777" w:rsidR="00FD49E6" w:rsidRDefault="00FD49E6" w:rsidP="002250A0">
      <w:pPr>
        <w:rPr>
          <w:lang w:eastAsia="en-US"/>
        </w:rPr>
      </w:pPr>
    </w:p>
    <w:p w14:paraId="0C8DCFC9" w14:textId="6B09E5C0" w:rsidR="00B37304" w:rsidRDefault="00B37304" w:rsidP="002250A0">
      <w:pPr>
        <w:rPr>
          <w:lang w:eastAsia="en-US"/>
        </w:rPr>
      </w:pPr>
    </w:p>
    <w:p w14:paraId="75BFDF7F" w14:textId="5CEE08F1" w:rsidR="00154CF0" w:rsidRDefault="00154CF0" w:rsidP="002250A0">
      <w:pPr>
        <w:rPr>
          <w:lang w:eastAsia="en-US"/>
        </w:rPr>
      </w:pPr>
    </w:p>
    <w:p w14:paraId="32D9DE7E" w14:textId="77777777" w:rsidR="00154CF0" w:rsidRPr="00A5328A" w:rsidRDefault="00154CF0"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27797D" w:rsidRPr="000D284B" w14:paraId="68E1AC65" w14:textId="77777777" w:rsidTr="0099614E">
        <w:trPr>
          <w:jc w:val="center"/>
        </w:trPr>
        <w:tc>
          <w:tcPr>
            <w:tcW w:w="7225" w:type="dxa"/>
            <w:shd w:val="clear" w:color="auto" w:fill="auto"/>
            <w:vAlign w:val="center"/>
          </w:tcPr>
          <w:p w14:paraId="6A6E1F5C" w14:textId="77777777" w:rsidR="0027797D" w:rsidRPr="000D284B" w:rsidRDefault="0027797D" w:rsidP="0027797D">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1DB5F76C" w14:textId="45EA6713" w:rsidR="0027797D" w:rsidRPr="000D284B" w:rsidRDefault="0027797D" w:rsidP="0027797D">
            <w:pPr>
              <w:jc w:val="center"/>
            </w:pPr>
            <w:r w:rsidRPr="00DE648B">
              <w:rPr>
                <w:rFonts w:ascii="Calibri" w:hAnsi="Calibri" w:cs="Calibri"/>
                <w:color w:val="FF0000"/>
                <w:szCs w:val="20"/>
              </w:rPr>
              <w:t>(doplní dodavatel)</w:t>
            </w:r>
          </w:p>
        </w:tc>
      </w:tr>
      <w:tr w:rsidR="0027797D" w:rsidRPr="000D284B" w14:paraId="313AE7E6" w14:textId="77777777" w:rsidTr="0099614E">
        <w:trPr>
          <w:jc w:val="center"/>
        </w:trPr>
        <w:tc>
          <w:tcPr>
            <w:tcW w:w="7225" w:type="dxa"/>
            <w:shd w:val="clear" w:color="auto" w:fill="auto"/>
            <w:vAlign w:val="center"/>
          </w:tcPr>
          <w:p w14:paraId="349F8771" w14:textId="77777777" w:rsidR="0027797D" w:rsidRPr="000D284B" w:rsidRDefault="0027797D" w:rsidP="0027797D">
            <w:r w:rsidRPr="000D284B">
              <w:rPr>
                <w:rFonts w:ascii="Calibri" w:hAnsi="Calibri" w:cs="Calibri"/>
                <w:sz w:val="22"/>
                <w:szCs w:val="22"/>
              </w:rPr>
              <w:t>Dodání návodu k použití v ČJ a prohlášení o shodě v papírové i elektronické verzi.</w:t>
            </w:r>
          </w:p>
        </w:tc>
        <w:tc>
          <w:tcPr>
            <w:tcW w:w="2414" w:type="dxa"/>
            <w:shd w:val="clear" w:color="auto" w:fill="auto"/>
          </w:tcPr>
          <w:p w14:paraId="671BD157" w14:textId="4C812409" w:rsidR="0027797D" w:rsidRPr="000D284B" w:rsidRDefault="0027797D" w:rsidP="0027797D">
            <w:pPr>
              <w:jc w:val="center"/>
            </w:pPr>
            <w:r w:rsidRPr="00DE648B">
              <w:rPr>
                <w:rFonts w:ascii="Calibri" w:hAnsi="Calibri" w:cs="Calibri"/>
                <w:color w:val="FF0000"/>
                <w:szCs w:val="20"/>
              </w:rPr>
              <w:t>(doplní dodavatel)</w:t>
            </w:r>
          </w:p>
        </w:tc>
      </w:tr>
      <w:tr w:rsidR="0027797D" w:rsidRPr="000D284B" w14:paraId="6D706D4A" w14:textId="77777777" w:rsidTr="0099614E">
        <w:trPr>
          <w:jc w:val="center"/>
        </w:trPr>
        <w:tc>
          <w:tcPr>
            <w:tcW w:w="7225" w:type="dxa"/>
            <w:shd w:val="clear" w:color="auto" w:fill="auto"/>
            <w:vAlign w:val="center"/>
          </w:tcPr>
          <w:p w14:paraId="3BDF2E9C" w14:textId="77777777" w:rsidR="0027797D" w:rsidRPr="000D284B" w:rsidRDefault="0027797D" w:rsidP="0027797D">
            <w:r w:rsidRPr="000D284B">
              <w:rPr>
                <w:rFonts w:ascii="Calibri" w:hAnsi="Calibri" w:cs="Calibri"/>
                <w:sz w:val="22"/>
                <w:szCs w:val="22"/>
              </w:rPr>
              <w:t>Provedení zaškolení (instruktáže) obsluhy včetně vyhotovení zápisu.</w:t>
            </w:r>
          </w:p>
        </w:tc>
        <w:tc>
          <w:tcPr>
            <w:tcW w:w="2414" w:type="dxa"/>
            <w:shd w:val="clear" w:color="auto" w:fill="auto"/>
          </w:tcPr>
          <w:p w14:paraId="7C0BD828" w14:textId="115048D6" w:rsidR="0027797D" w:rsidRPr="000D284B" w:rsidRDefault="0027797D" w:rsidP="0027797D">
            <w:pPr>
              <w:jc w:val="center"/>
            </w:pPr>
            <w:r w:rsidRPr="00DE648B">
              <w:rPr>
                <w:rFonts w:ascii="Calibri" w:hAnsi="Calibri" w:cs="Calibri"/>
                <w:color w:val="FF0000"/>
                <w:szCs w:val="20"/>
              </w:rPr>
              <w:t>(doplní dodavatel)</w:t>
            </w:r>
          </w:p>
        </w:tc>
      </w:tr>
      <w:tr w:rsidR="0027797D" w:rsidRPr="000D284B" w14:paraId="51D03D7C" w14:textId="77777777" w:rsidTr="0099614E">
        <w:trPr>
          <w:jc w:val="center"/>
        </w:trPr>
        <w:tc>
          <w:tcPr>
            <w:tcW w:w="7225" w:type="dxa"/>
            <w:shd w:val="clear" w:color="auto" w:fill="auto"/>
            <w:vAlign w:val="center"/>
          </w:tcPr>
          <w:p w14:paraId="0D1DAC58" w14:textId="77777777" w:rsidR="0027797D" w:rsidRPr="000D284B" w:rsidRDefault="0027797D" w:rsidP="0027797D">
            <w:r w:rsidRPr="000D284B">
              <w:rPr>
                <w:rFonts w:ascii="Calibri" w:hAnsi="Calibri" w:cs="Calibri"/>
                <w:sz w:val="22"/>
                <w:szCs w:val="22"/>
              </w:rPr>
              <w:t>Dodání oprávnění školitele (od výrobce) k provádění instruktáže.</w:t>
            </w:r>
          </w:p>
        </w:tc>
        <w:tc>
          <w:tcPr>
            <w:tcW w:w="2414" w:type="dxa"/>
            <w:shd w:val="clear" w:color="auto" w:fill="auto"/>
          </w:tcPr>
          <w:p w14:paraId="46695435" w14:textId="5006EBDE" w:rsidR="0027797D" w:rsidRPr="000D284B" w:rsidRDefault="0027797D" w:rsidP="0027797D">
            <w:pPr>
              <w:jc w:val="center"/>
            </w:pPr>
            <w:r w:rsidRPr="00DE648B">
              <w:rPr>
                <w:rFonts w:ascii="Calibri" w:hAnsi="Calibri" w:cs="Calibri"/>
                <w:color w:val="FF0000"/>
                <w:szCs w:val="20"/>
              </w:rPr>
              <w:t>(doplní dodavatel)</w:t>
            </w:r>
          </w:p>
        </w:tc>
      </w:tr>
      <w:tr w:rsidR="0027797D" w:rsidRPr="000D284B" w14:paraId="76C3E76A" w14:textId="77777777" w:rsidTr="0099614E">
        <w:trPr>
          <w:jc w:val="center"/>
        </w:trPr>
        <w:tc>
          <w:tcPr>
            <w:tcW w:w="7225" w:type="dxa"/>
            <w:shd w:val="clear" w:color="auto" w:fill="auto"/>
            <w:vAlign w:val="center"/>
          </w:tcPr>
          <w:p w14:paraId="3CD39BC8" w14:textId="77777777" w:rsidR="0027797D" w:rsidRPr="000D284B" w:rsidRDefault="0027797D" w:rsidP="0027797D">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tcPr>
          <w:p w14:paraId="1D0C2A6A" w14:textId="34939158" w:rsidR="0027797D" w:rsidRPr="000D284B" w:rsidRDefault="0027797D" w:rsidP="0027797D">
            <w:pPr>
              <w:jc w:val="center"/>
            </w:pPr>
            <w:r w:rsidRPr="00DE648B">
              <w:rPr>
                <w:rFonts w:ascii="Calibri" w:hAnsi="Calibri" w:cs="Calibri"/>
                <w:color w:val="FF0000"/>
                <w:szCs w:val="20"/>
              </w:rPr>
              <w:t>(doplní dodavatel)</w:t>
            </w:r>
          </w:p>
        </w:tc>
      </w:tr>
      <w:tr w:rsidR="0027797D" w:rsidRPr="000D284B" w14:paraId="24D9DD4B" w14:textId="77777777" w:rsidTr="0099614E">
        <w:trPr>
          <w:trHeight w:val="677"/>
          <w:jc w:val="center"/>
        </w:trPr>
        <w:tc>
          <w:tcPr>
            <w:tcW w:w="7225" w:type="dxa"/>
            <w:shd w:val="clear" w:color="auto" w:fill="auto"/>
            <w:vAlign w:val="center"/>
          </w:tcPr>
          <w:p w14:paraId="5491D594" w14:textId="77777777" w:rsidR="0027797D" w:rsidRPr="000D284B" w:rsidRDefault="0027797D" w:rsidP="0027797D">
            <w:r w:rsidRPr="000D284B">
              <w:rPr>
                <w:rFonts w:ascii="Calibri" w:hAnsi="Calibri" w:cs="Calibri"/>
                <w:sz w:val="22"/>
                <w:szCs w:val="22"/>
              </w:rPr>
              <w:t>Splnění všech ostatních závazných podmínek předepsaných platnou legislativou.</w:t>
            </w:r>
          </w:p>
        </w:tc>
        <w:tc>
          <w:tcPr>
            <w:tcW w:w="2414" w:type="dxa"/>
            <w:shd w:val="clear" w:color="auto" w:fill="auto"/>
          </w:tcPr>
          <w:p w14:paraId="79BB6335" w14:textId="1C3BB3D0" w:rsidR="0027797D" w:rsidRPr="000D284B" w:rsidRDefault="0027797D" w:rsidP="0027797D">
            <w:pPr>
              <w:jc w:val="center"/>
            </w:pPr>
            <w:r w:rsidRPr="00DE648B">
              <w:rPr>
                <w:rFonts w:ascii="Calibri" w:hAnsi="Calibri" w:cs="Calibri"/>
                <w:color w:val="FF0000"/>
                <w:szCs w:val="20"/>
              </w:rPr>
              <w:t>(doplní dodavatel)</w:t>
            </w: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456B37E" w:rsidR="006518A6" w:rsidRDefault="00124B23" w:rsidP="00C95D5F">
    <w:pPr>
      <w:pStyle w:val="Zhlav"/>
      <w:jc w:val="both"/>
    </w:pPr>
    <w:r>
      <w:rPr>
        <w:noProof/>
      </w:rPr>
      <w:drawing>
        <wp:anchor distT="0" distB="0" distL="114300" distR="114300" simplePos="0" relativeHeight="251660288" behindDoc="0" locked="0" layoutInCell="1" allowOverlap="1" wp14:anchorId="25D1CC1F" wp14:editId="18AE6E46">
          <wp:simplePos x="0" y="0"/>
          <wp:positionH relativeFrom="margin">
            <wp:posOffset>-106680</wp:posOffset>
          </wp:positionH>
          <wp:positionV relativeFrom="paragraph">
            <wp:posOffset>-84455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3618314" wp14:editId="1CC9B485">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2"/>
  </w:num>
  <w:num w:numId="4">
    <w:abstractNumId w:val="9"/>
  </w:num>
  <w:num w:numId="5">
    <w:abstractNumId w:val="6"/>
  </w:num>
  <w:num w:numId="6">
    <w:abstractNumId w:val="10"/>
  </w:num>
  <w:num w:numId="7">
    <w:abstractNumId w:val="10"/>
  </w:num>
  <w:num w:numId="8">
    <w:abstractNumId w:val="21"/>
  </w:num>
  <w:num w:numId="9">
    <w:abstractNumId w:val="2"/>
  </w:num>
  <w:num w:numId="10">
    <w:abstractNumId w:val="15"/>
  </w:num>
  <w:num w:numId="11">
    <w:abstractNumId w:val="14"/>
  </w:num>
  <w:num w:numId="12">
    <w:abstractNumId w:val="20"/>
  </w:num>
  <w:num w:numId="13">
    <w:abstractNumId w:val="7"/>
  </w:num>
  <w:num w:numId="14">
    <w:abstractNumId w:val="17"/>
  </w:num>
  <w:num w:numId="15">
    <w:abstractNumId w:val="19"/>
  </w:num>
  <w:num w:numId="16">
    <w:abstractNumId w:val="11"/>
  </w:num>
  <w:num w:numId="17">
    <w:abstractNumId w:val="12"/>
  </w:num>
  <w:num w:numId="18">
    <w:abstractNumId w:val="8"/>
  </w:num>
  <w:num w:numId="19">
    <w:abstractNumId w:val="3"/>
  </w:num>
  <w:num w:numId="20">
    <w:abstractNumId w:val="23"/>
  </w:num>
  <w:num w:numId="21">
    <w:abstractNumId w:val="13"/>
  </w:num>
  <w:num w:numId="22">
    <w:abstractNumId w:val="16"/>
  </w:num>
  <w:num w:numId="23">
    <w:abstractNumId w:val="5"/>
  </w:num>
  <w:num w:numId="24">
    <w:abstractNumId w:val="0"/>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2958"/>
    <w:rsid w:val="00147A0B"/>
    <w:rsid w:val="00154CF0"/>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7797D"/>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5194"/>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77E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491</Words>
  <Characters>2901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27</cp:revision>
  <dcterms:created xsi:type="dcterms:W3CDTF">2021-06-10T12:06:00Z</dcterms:created>
  <dcterms:modified xsi:type="dcterms:W3CDTF">2022-04-04T14:44:00Z</dcterms:modified>
</cp:coreProperties>
</file>